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FEAAB2" w14:textId="493FDD99" w:rsidR="005C4C92" w:rsidRDefault="005C4C92" w:rsidP="00FB30B3">
      <w:pPr>
        <w:rPr>
          <w:rFonts w:cstheme="minorHAnsi"/>
          <w:sz w:val="24"/>
          <w:szCs w:val="24"/>
        </w:rPr>
      </w:pPr>
      <w:r>
        <w:rPr>
          <w:noProof/>
        </w:rPr>
        <w:drawing>
          <wp:inline distT="0" distB="0" distL="0" distR="0" wp14:anchorId="428D64A8" wp14:editId="23D556CB">
            <wp:extent cx="2308860" cy="11277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860" cy="112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74210CD" wp14:editId="7994C693">
            <wp:extent cx="2324100" cy="1211580"/>
            <wp:effectExtent l="0" t="0" r="0" b="7620"/>
            <wp:docPr id="2" name="Picture 2" descr="Employers Health Coalition | 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mployers Health Coalition | Hom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21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61D155" w14:textId="77777777" w:rsidR="005C4C92" w:rsidRDefault="005C4C92" w:rsidP="00FB30B3">
      <w:pPr>
        <w:rPr>
          <w:rFonts w:cstheme="minorHAnsi"/>
          <w:sz w:val="24"/>
          <w:szCs w:val="24"/>
        </w:rPr>
      </w:pPr>
    </w:p>
    <w:p w14:paraId="07169583" w14:textId="73E75982" w:rsidR="0091459F" w:rsidRPr="00D800F1" w:rsidRDefault="0091459F" w:rsidP="00FB30B3">
      <w:pPr>
        <w:rPr>
          <w:rFonts w:asciiTheme="majorHAnsi" w:hAnsiTheme="majorHAnsi" w:cstheme="majorHAnsi"/>
        </w:rPr>
      </w:pPr>
      <w:r w:rsidRPr="00D800F1">
        <w:rPr>
          <w:rFonts w:asciiTheme="majorHAnsi" w:hAnsiTheme="majorHAnsi" w:cstheme="majorHAnsi"/>
        </w:rPr>
        <w:t xml:space="preserve">Employer purchasing power is necessary in today’s pharmacy benefit marketplace. That’s why </w:t>
      </w:r>
      <w:r w:rsidR="00564CBA" w:rsidRPr="00D800F1">
        <w:rPr>
          <w:rFonts w:asciiTheme="majorHAnsi" w:hAnsiTheme="majorHAnsi" w:cstheme="majorHAnsi"/>
        </w:rPr>
        <w:t>Employers Healthcare Coalition</w:t>
      </w:r>
      <w:r w:rsidRPr="00D800F1">
        <w:rPr>
          <w:rFonts w:asciiTheme="majorHAnsi" w:hAnsiTheme="majorHAnsi" w:cstheme="majorHAnsi"/>
        </w:rPr>
        <w:t xml:space="preserve"> has chosen to collaborate with </w:t>
      </w:r>
      <w:hyperlink r:id="rId9" w:history="1">
        <w:r w:rsidRPr="00D800F1">
          <w:rPr>
            <w:rStyle w:val="Hyperlink"/>
            <w:rFonts w:asciiTheme="majorHAnsi" w:hAnsiTheme="majorHAnsi" w:cstheme="majorHAnsi"/>
          </w:rPr>
          <w:t>Employers Health</w:t>
        </w:r>
      </w:hyperlink>
      <w:r w:rsidRPr="00D800F1">
        <w:rPr>
          <w:rFonts w:asciiTheme="majorHAnsi" w:hAnsiTheme="majorHAnsi" w:cstheme="majorHAnsi"/>
        </w:rPr>
        <w:t xml:space="preserve"> to bolster the size and scale of its solution and deliver a market leading PBM arrangement.</w:t>
      </w:r>
    </w:p>
    <w:p w14:paraId="483F7024" w14:textId="3A409DDD" w:rsidR="003E3829" w:rsidRPr="00D800F1" w:rsidRDefault="003E3829" w:rsidP="00FB30B3">
      <w:pPr>
        <w:rPr>
          <w:rFonts w:asciiTheme="majorHAnsi" w:hAnsiTheme="majorHAnsi" w:cstheme="majorHAnsi"/>
        </w:rPr>
      </w:pPr>
      <w:r w:rsidRPr="00D800F1">
        <w:rPr>
          <w:rFonts w:asciiTheme="majorHAnsi" w:hAnsiTheme="majorHAnsi" w:cstheme="majorHAnsi"/>
        </w:rPr>
        <w:t xml:space="preserve">Since 1995, </w:t>
      </w:r>
      <w:r w:rsidR="00B1028D" w:rsidRPr="00D800F1">
        <w:rPr>
          <w:rFonts w:asciiTheme="majorHAnsi" w:hAnsiTheme="majorHAnsi" w:cstheme="majorHAnsi"/>
        </w:rPr>
        <w:t xml:space="preserve">Employers Health’s </w:t>
      </w:r>
      <w:r w:rsidRPr="00D800F1">
        <w:rPr>
          <w:rFonts w:asciiTheme="majorHAnsi" w:hAnsiTheme="majorHAnsi" w:cstheme="majorHAnsi"/>
        </w:rPr>
        <w:t xml:space="preserve">collective strategy for </w:t>
      </w:r>
      <w:r w:rsidR="006F25F9" w:rsidRPr="00D800F1">
        <w:rPr>
          <w:rFonts w:asciiTheme="majorHAnsi" w:hAnsiTheme="majorHAnsi" w:cstheme="majorHAnsi"/>
        </w:rPr>
        <w:t>pharmacy</w:t>
      </w:r>
      <w:r w:rsidRPr="00D800F1">
        <w:rPr>
          <w:rFonts w:asciiTheme="majorHAnsi" w:hAnsiTheme="majorHAnsi" w:cstheme="majorHAnsi"/>
        </w:rPr>
        <w:t xml:space="preserve"> benefits has</w:t>
      </w:r>
      <w:r w:rsidR="00370425" w:rsidRPr="00D800F1">
        <w:rPr>
          <w:rFonts w:asciiTheme="majorHAnsi" w:hAnsiTheme="majorHAnsi" w:cstheme="majorHAnsi"/>
        </w:rPr>
        <w:t xml:space="preserve"> had</w:t>
      </w:r>
      <w:r w:rsidRPr="00D800F1">
        <w:rPr>
          <w:rFonts w:asciiTheme="majorHAnsi" w:hAnsiTheme="majorHAnsi" w:cstheme="majorHAnsi"/>
        </w:rPr>
        <w:t xml:space="preserve"> a proven track record of delivering aggressive financial performance for </w:t>
      </w:r>
      <w:r w:rsidR="005C03F7" w:rsidRPr="00D800F1">
        <w:rPr>
          <w:rFonts w:asciiTheme="majorHAnsi" w:hAnsiTheme="majorHAnsi" w:cstheme="majorHAnsi"/>
        </w:rPr>
        <w:t>its</w:t>
      </w:r>
      <w:r w:rsidRPr="00D800F1">
        <w:rPr>
          <w:rFonts w:asciiTheme="majorHAnsi" w:hAnsiTheme="majorHAnsi" w:cstheme="majorHAnsi"/>
        </w:rPr>
        <w:t xml:space="preserve"> clients. By engaging with best-in-class suppliers </w:t>
      </w:r>
      <w:r w:rsidR="00AA353C" w:rsidRPr="00D800F1">
        <w:rPr>
          <w:rFonts w:asciiTheme="majorHAnsi" w:hAnsiTheme="majorHAnsi" w:cstheme="majorHAnsi"/>
        </w:rPr>
        <w:t xml:space="preserve">– CVS Caremark, OptumRx and </w:t>
      </w:r>
      <w:r w:rsidR="0091459F" w:rsidRPr="00D800F1">
        <w:rPr>
          <w:rFonts w:asciiTheme="majorHAnsi" w:hAnsiTheme="majorHAnsi" w:cstheme="majorHAnsi"/>
        </w:rPr>
        <w:t>Elixir</w:t>
      </w:r>
      <w:r w:rsidR="00AA353C" w:rsidRPr="00D800F1">
        <w:rPr>
          <w:rFonts w:asciiTheme="majorHAnsi" w:hAnsiTheme="majorHAnsi" w:cstheme="majorHAnsi"/>
        </w:rPr>
        <w:t xml:space="preserve"> – </w:t>
      </w:r>
      <w:r w:rsidRPr="00D800F1">
        <w:rPr>
          <w:rFonts w:asciiTheme="majorHAnsi" w:hAnsiTheme="majorHAnsi" w:cstheme="majorHAnsi"/>
        </w:rPr>
        <w:t>and having an objective opinion separate from t</w:t>
      </w:r>
      <w:r w:rsidR="00AA353C" w:rsidRPr="00D800F1">
        <w:rPr>
          <w:rFonts w:asciiTheme="majorHAnsi" w:hAnsiTheme="majorHAnsi" w:cstheme="majorHAnsi"/>
        </w:rPr>
        <w:t>hose</w:t>
      </w:r>
      <w:r w:rsidRPr="00D800F1">
        <w:rPr>
          <w:rFonts w:asciiTheme="majorHAnsi" w:hAnsiTheme="majorHAnsi" w:cstheme="majorHAnsi"/>
        </w:rPr>
        <w:t xml:space="preserve"> suppliers</w:t>
      </w:r>
      <w:r w:rsidR="00FF5501" w:rsidRPr="00D800F1">
        <w:rPr>
          <w:rFonts w:asciiTheme="majorHAnsi" w:hAnsiTheme="majorHAnsi" w:cstheme="majorHAnsi"/>
        </w:rPr>
        <w:t>,</w:t>
      </w:r>
      <w:r w:rsidR="00AA353C" w:rsidRPr="00D800F1">
        <w:rPr>
          <w:rFonts w:asciiTheme="majorHAnsi" w:hAnsiTheme="majorHAnsi" w:cstheme="majorHAnsi"/>
        </w:rPr>
        <w:t xml:space="preserve"> </w:t>
      </w:r>
      <w:r w:rsidRPr="00D800F1">
        <w:rPr>
          <w:rFonts w:asciiTheme="majorHAnsi" w:hAnsiTheme="majorHAnsi" w:cstheme="majorHAnsi"/>
        </w:rPr>
        <w:t>the Employers Health PBM program provides market-leading pricing and terms, while protecting each plan’s unique features.</w:t>
      </w:r>
      <w:r w:rsidR="00FB30B3" w:rsidRPr="00D800F1">
        <w:rPr>
          <w:rFonts w:asciiTheme="majorHAnsi" w:hAnsiTheme="majorHAnsi" w:cstheme="majorHAnsi"/>
        </w:rPr>
        <w:t xml:space="preserve"> Participating plan sponsors achieve better outcomes through improved adherence and compliance, better experiences via high levels of loyalty and satisfaction and better costs with a consistently flat to negative per capita trend.</w:t>
      </w:r>
    </w:p>
    <w:p w14:paraId="5BF4EDF1" w14:textId="77777777" w:rsidR="00A77685" w:rsidRPr="00D800F1" w:rsidRDefault="00A77685" w:rsidP="00FB30B3">
      <w:pPr>
        <w:rPr>
          <w:rFonts w:cstheme="minorHAnsi"/>
        </w:rPr>
      </w:pPr>
    </w:p>
    <w:p w14:paraId="2D2FB6EA" w14:textId="6C4EF21D" w:rsidR="00C65BEA" w:rsidRPr="00D800F1" w:rsidRDefault="00A465F7" w:rsidP="00FB30B3">
      <w:pPr>
        <w:rPr>
          <w:rFonts w:cstheme="minorHAnsi"/>
          <w:b/>
          <w:bCs/>
        </w:rPr>
      </w:pPr>
      <w:r w:rsidRPr="00D800F1">
        <w:rPr>
          <w:rFonts w:cstheme="minorHAnsi"/>
          <w:b/>
          <w:bCs/>
        </w:rPr>
        <w:t>The</w:t>
      </w:r>
      <w:r w:rsidR="00C65BEA" w:rsidRPr="00D800F1">
        <w:rPr>
          <w:rFonts w:cstheme="minorHAnsi"/>
          <w:b/>
          <w:bCs/>
        </w:rPr>
        <w:t xml:space="preserve"> program </w:t>
      </w:r>
      <w:proofErr w:type="gramStart"/>
      <w:r w:rsidR="00C65BEA" w:rsidRPr="00D800F1">
        <w:rPr>
          <w:rFonts w:cstheme="minorHAnsi"/>
          <w:b/>
          <w:bCs/>
        </w:rPr>
        <w:t>at a glance</w:t>
      </w:r>
      <w:proofErr w:type="gramEnd"/>
      <w:r w:rsidR="00C65BEA" w:rsidRPr="00D800F1">
        <w:rPr>
          <w:rFonts w:cstheme="minorHAnsi"/>
          <w:b/>
          <w:bCs/>
        </w:rPr>
        <w:t>:</w:t>
      </w:r>
    </w:p>
    <w:p w14:paraId="5F09040F" w14:textId="480AD25D" w:rsidR="00C65BEA" w:rsidRPr="00D800F1" w:rsidRDefault="00C65BEA" w:rsidP="00B405C9">
      <w:pPr>
        <w:pStyle w:val="ListParagraph"/>
        <w:numPr>
          <w:ilvl w:val="0"/>
          <w:numId w:val="1"/>
        </w:numPr>
        <w:rPr>
          <w:rFonts w:cstheme="minorHAnsi"/>
          <w:i/>
          <w:iCs/>
        </w:rPr>
      </w:pPr>
      <w:r w:rsidRPr="00D800F1">
        <w:rPr>
          <w:rFonts w:cstheme="minorHAnsi"/>
          <w:i/>
          <w:iCs/>
        </w:rPr>
        <w:t xml:space="preserve">215+ individual plan sponsors </w:t>
      </w:r>
    </w:p>
    <w:p w14:paraId="77EDAD35" w14:textId="623503D0" w:rsidR="00C65BEA" w:rsidRPr="00D800F1" w:rsidRDefault="00C65BEA" w:rsidP="00B405C9">
      <w:pPr>
        <w:pStyle w:val="ListParagraph"/>
        <w:numPr>
          <w:ilvl w:val="0"/>
          <w:numId w:val="1"/>
        </w:numPr>
        <w:rPr>
          <w:rFonts w:cstheme="minorHAnsi"/>
          <w:i/>
          <w:iCs/>
        </w:rPr>
      </w:pPr>
      <w:r w:rsidRPr="00D800F1">
        <w:rPr>
          <w:rFonts w:cstheme="minorHAnsi"/>
          <w:i/>
          <w:iCs/>
        </w:rPr>
        <w:t>Covers more than 1 million lives in all 50 states.</w:t>
      </w:r>
    </w:p>
    <w:p w14:paraId="3FC21FB0" w14:textId="54C232CA" w:rsidR="00C65BEA" w:rsidRPr="00D800F1" w:rsidRDefault="00C65BEA" w:rsidP="00B405C9">
      <w:pPr>
        <w:pStyle w:val="ListParagraph"/>
        <w:numPr>
          <w:ilvl w:val="0"/>
          <w:numId w:val="1"/>
        </w:numPr>
        <w:rPr>
          <w:rFonts w:cstheme="minorHAnsi"/>
          <w:i/>
          <w:iCs/>
        </w:rPr>
      </w:pPr>
      <w:r w:rsidRPr="00D800F1">
        <w:rPr>
          <w:rFonts w:cstheme="minorHAnsi"/>
          <w:i/>
          <w:iCs/>
        </w:rPr>
        <w:t>Collectively spends more than $1.5 billion on pharmacy.</w:t>
      </w:r>
    </w:p>
    <w:p w14:paraId="358DFA9B" w14:textId="7E7F53B2" w:rsidR="00ED5C33" w:rsidRPr="00D800F1" w:rsidRDefault="00ED5C33" w:rsidP="00ED5C33">
      <w:pPr>
        <w:pStyle w:val="ListParagraph"/>
        <w:numPr>
          <w:ilvl w:val="0"/>
          <w:numId w:val="1"/>
        </w:numPr>
        <w:rPr>
          <w:rFonts w:cstheme="minorHAnsi"/>
          <w:i/>
          <w:iCs/>
        </w:rPr>
      </w:pPr>
      <w:r w:rsidRPr="00D800F1">
        <w:rPr>
          <w:rFonts w:cstheme="minorHAnsi"/>
          <w:i/>
          <w:iCs/>
        </w:rPr>
        <w:t>A dedicated client solutions team from the coalition to ensure the PBM relationship is meeting/exceeding expectations.</w:t>
      </w:r>
    </w:p>
    <w:p w14:paraId="392353F0" w14:textId="2D36D6DF" w:rsidR="00ED5C33" w:rsidRPr="00D800F1" w:rsidRDefault="00254D73" w:rsidP="00FF5079">
      <w:pPr>
        <w:pStyle w:val="ListParagraph"/>
        <w:numPr>
          <w:ilvl w:val="0"/>
          <w:numId w:val="1"/>
        </w:numPr>
        <w:rPr>
          <w:rFonts w:cstheme="minorHAnsi"/>
          <w:i/>
          <w:iCs/>
        </w:rPr>
      </w:pPr>
      <w:r w:rsidRPr="00D800F1">
        <w:rPr>
          <w:rFonts w:cstheme="minorHAnsi"/>
          <w:i/>
          <w:iCs/>
        </w:rPr>
        <w:t>O</w:t>
      </w:r>
      <w:r w:rsidR="00ED5C33" w:rsidRPr="00D800F1">
        <w:rPr>
          <w:rFonts w:cstheme="minorHAnsi"/>
          <w:i/>
          <w:iCs/>
        </w:rPr>
        <w:t xml:space="preserve">versight by coalition </w:t>
      </w:r>
      <w:r w:rsidRPr="00D800F1">
        <w:rPr>
          <w:rFonts w:cstheme="minorHAnsi"/>
          <w:i/>
          <w:iCs/>
        </w:rPr>
        <w:t>clinical and analytics team</w:t>
      </w:r>
      <w:r w:rsidR="009515CD" w:rsidRPr="00D800F1">
        <w:rPr>
          <w:rFonts w:cstheme="minorHAnsi"/>
          <w:i/>
          <w:iCs/>
        </w:rPr>
        <w:t>s</w:t>
      </w:r>
      <w:r w:rsidRPr="00D800F1">
        <w:rPr>
          <w:rFonts w:cstheme="minorHAnsi"/>
          <w:i/>
          <w:iCs/>
        </w:rPr>
        <w:t xml:space="preserve"> – pharmacists and actuaries</w:t>
      </w:r>
      <w:r w:rsidR="009901FE" w:rsidRPr="00D800F1">
        <w:rPr>
          <w:rFonts w:cstheme="minorHAnsi"/>
          <w:i/>
          <w:iCs/>
        </w:rPr>
        <w:t xml:space="preserve"> - </w:t>
      </w:r>
      <w:r w:rsidR="00ED5C33" w:rsidRPr="00D800F1">
        <w:rPr>
          <w:rFonts w:cstheme="minorHAnsi"/>
          <w:i/>
          <w:iCs/>
        </w:rPr>
        <w:t xml:space="preserve">to monitor new drug launches, analyze trends and provide </w:t>
      </w:r>
      <w:r w:rsidR="00250ABC" w:rsidRPr="00D800F1">
        <w:rPr>
          <w:rFonts w:cstheme="minorHAnsi"/>
          <w:i/>
          <w:iCs/>
        </w:rPr>
        <w:t xml:space="preserve">you and your team with </w:t>
      </w:r>
      <w:r w:rsidR="00CA4588" w:rsidRPr="00D800F1">
        <w:rPr>
          <w:rFonts w:cstheme="minorHAnsi"/>
          <w:i/>
          <w:iCs/>
        </w:rPr>
        <w:t xml:space="preserve">proactive and clinically-sound </w:t>
      </w:r>
      <w:r w:rsidR="00ED5C33" w:rsidRPr="00D800F1">
        <w:rPr>
          <w:rFonts w:cstheme="minorHAnsi"/>
          <w:i/>
          <w:iCs/>
        </w:rPr>
        <w:t>plan design strategies.</w:t>
      </w:r>
    </w:p>
    <w:p w14:paraId="2BDDEB06" w14:textId="53A52DE1" w:rsidR="00931D61" w:rsidRPr="00D800F1" w:rsidRDefault="00931D61" w:rsidP="00931D61">
      <w:pPr>
        <w:pStyle w:val="ListParagraph"/>
        <w:numPr>
          <w:ilvl w:val="0"/>
          <w:numId w:val="1"/>
        </w:numPr>
        <w:rPr>
          <w:rFonts w:cstheme="minorHAnsi"/>
          <w:i/>
          <w:iCs/>
        </w:rPr>
      </w:pPr>
      <w:r w:rsidRPr="00D800F1">
        <w:rPr>
          <w:rFonts w:cstheme="minorHAnsi"/>
          <w:i/>
          <w:iCs/>
        </w:rPr>
        <w:t>Annual market check negotiations ensure your plan benefits from updated pricing and contractual terms.</w:t>
      </w:r>
    </w:p>
    <w:p w14:paraId="3DDD5439" w14:textId="7D2E93AF" w:rsidR="00931D61" w:rsidRPr="00D800F1" w:rsidRDefault="00931D61" w:rsidP="00931D61">
      <w:pPr>
        <w:pStyle w:val="ListParagraph"/>
        <w:numPr>
          <w:ilvl w:val="0"/>
          <w:numId w:val="1"/>
        </w:numPr>
        <w:rPr>
          <w:rFonts w:cstheme="minorHAnsi"/>
          <w:i/>
          <w:iCs/>
        </w:rPr>
      </w:pPr>
      <w:r w:rsidRPr="00D800F1">
        <w:rPr>
          <w:rFonts w:cstheme="minorHAnsi"/>
          <w:i/>
          <w:iCs/>
        </w:rPr>
        <w:t>Claims audit ensures the PBM is compliant with the contract and provides evidence to fulfill a plan sponsor’s fiduciary responsibilities.</w:t>
      </w:r>
    </w:p>
    <w:p w14:paraId="245D7685" w14:textId="2BE70D52" w:rsidR="008812D7" w:rsidRPr="00D800F1" w:rsidRDefault="008812D7" w:rsidP="008812D7">
      <w:pPr>
        <w:pStyle w:val="ListParagraph"/>
        <w:numPr>
          <w:ilvl w:val="0"/>
          <w:numId w:val="1"/>
        </w:numPr>
        <w:rPr>
          <w:rFonts w:cstheme="minorHAnsi"/>
          <w:i/>
          <w:iCs/>
        </w:rPr>
      </w:pPr>
      <w:r w:rsidRPr="00D800F1">
        <w:rPr>
          <w:rFonts w:cstheme="minorHAnsi"/>
          <w:i/>
          <w:iCs/>
        </w:rPr>
        <w:t xml:space="preserve">Contract performance management, including reconciliations of performance guarantees, </w:t>
      </w:r>
      <w:r w:rsidR="00A77685" w:rsidRPr="00D800F1">
        <w:rPr>
          <w:rFonts w:cstheme="minorHAnsi"/>
          <w:i/>
          <w:iCs/>
        </w:rPr>
        <w:t>rebates,</w:t>
      </w:r>
      <w:r w:rsidRPr="00D800F1">
        <w:rPr>
          <w:rFonts w:cstheme="minorHAnsi"/>
          <w:i/>
          <w:iCs/>
        </w:rPr>
        <w:t xml:space="preserve"> and pricing guarantees.</w:t>
      </w:r>
    </w:p>
    <w:p w14:paraId="0C34E236" w14:textId="22FCCA1C" w:rsidR="00C65BEA" w:rsidRPr="00D800F1" w:rsidRDefault="00C65BEA" w:rsidP="00B405C9">
      <w:pPr>
        <w:pStyle w:val="ListParagraph"/>
        <w:numPr>
          <w:ilvl w:val="0"/>
          <w:numId w:val="1"/>
        </w:numPr>
        <w:rPr>
          <w:rFonts w:cstheme="minorHAnsi"/>
          <w:i/>
          <w:iCs/>
        </w:rPr>
      </w:pPr>
      <w:r w:rsidRPr="00D800F1">
        <w:rPr>
          <w:rFonts w:cstheme="minorHAnsi"/>
          <w:i/>
          <w:iCs/>
        </w:rPr>
        <w:t>A</w:t>
      </w:r>
      <w:r w:rsidR="008D5E35" w:rsidRPr="00D800F1">
        <w:rPr>
          <w:rFonts w:cstheme="minorHAnsi"/>
          <w:i/>
          <w:iCs/>
        </w:rPr>
        <w:t>n employer-led</w:t>
      </w:r>
      <w:r w:rsidRPr="00D800F1">
        <w:rPr>
          <w:rFonts w:cstheme="minorHAnsi"/>
          <w:i/>
          <w:iCs/>
        </w:rPr>
        <w:t xml:space="preserve"> board of directors.</w:t>
      </w:r>
    </w:p>
    <w:p w14:paraId="3D31054D" w14:textId="3D83D36F" w:rsidR="00BF3114" w:rsidRPr="00D800F1" w:rsidRDefault="00C65BEA" w:rsidP="00BF3114">
      <w:pPr>
        <w:pStyle w:val="ListParagraph"/>
        <w:numPr>
          <w:ilvl w:val="0"/>
          <w:numId w:val="1"/>
        </w:numPr>
        <w:rPr>
          <w:rFonts w:cstheme="minorHAnsi"/>
          <w:i/>
          <w:iCs/>
        </w:rPr>
      </w:pPr>
      <w:r w:rsidRPr="00D800F1">
        <w:rPr>
          <w:rFonts w:cstheme="minorHAnsi"/>
          <w:i/>
          <w:iCs/>
        </w:rPr>
        <w:t>A contract evaluated by independent consultants</w:t>
      </w:r>
      <w:r w:rsidR="00B405C9" w:rsidRPr="00D800F1">
        <w:rPr>
          <w:rFonts w:cstheme="minorHAnsi"/>
          <w:i/>
          <w:iCs/>
        </w:rPr>
        <w:t xml:space="preserve"> </w:t>
      </w:r>
      <w:r w:rsidRPr="00D800F1">
        <w:rPr>
          <w:rFonts w:cstheme="minorHAnsi"/>
          <w:i/>
          <w:iCs/>
        </w:rPr>
        <w:t xml:space="preserve">more than 100 times each year - </w:t>
      </w:r>
      <w:proofErr w:type="gramStart"/>
      <w:r w:rsidRPr="00D800F1">
        <w:rPr>
          <w:rFonts w:cstheme="minorHAnsi"/>
          <w:i/>
          <w:iCs/>
        </w:rPr>
        <w:t>there’s</w:t>
      </w:r>
      <w:proofErr w:type="gramEnd"/>
      <w:r w:rsidRPr="00D800F1">
        <w:rPr>
          <w:rFonts w:cstheme="minorHAnsi"/>
          <w:i/>
          <w:iCs/>
        </w:rPr>
        <w:t xml:space="preserve"> no self</w:t>
      </w:r>
      <w:r w:rsidR="00B405C9" w:rsidRPr="00D800F1">
        <w:rPr>
          <w:rFonts w:cstheme="minorHAnsi"/>
          <w:i/>
          <w:iCs/>
        </w:rPr>
        <w:t>-</w:t>
      </w:r>
      <w:r w:rsidRPr="00D800F1">
        <w:rPr>
          <w:rFonts w:cstheme="minorHAnsi"/>
          <w:i/>
          <w:iCs/>
        </w:rPr>
        <w:t>dealing</w:t>
      </w:r>
      <w:r w:rsidR="00B405C9" w:rsidRPr="00D800F1">
        <w:rPr>
          <w:rFonts w:cstheme="minorHAnsi"/>
          <w:i/>
          <w:iCs/>
        </w:rPr>
        <w:t xml:space="preserve"> </w:t>
      </w:r>
      <w:r w:rsidRPr="00D800F1">
        <w:rPr>
          <w:rFonts w:cstheme="minorHAnsi"/>
          <w:i/>
          <w:iCs/>
        </w:rPr>
        <w:t>and contract terms</w:t>
      </w:r>
      <w:r w:rsidR="002352DF" w:rsidRPr="00D800F1">
        <w:rPr>
          <w:rFonts w:cstheme="minorHAnsi"/>
          <w:i/>
          <w:iCs/>
        </w:rPr>
        <w:t xml:space="preserve"> aren’t hidden</w:t>
      </w:r>
      <w:r w:rsidRPr="00D800F1">
        <w:rPr>
          <w:rFonts w:cstheme="minorHAnsi"/>
          <w:i/>
          <w:iCs/>
        </w:rPr>
        <w:t>.</w:t>
      </w:r>
    </w:p>
    <w:p w14:paraId="0553190D" w14:textId="12644280" w:rsidR="00D800F1" w:rsidRDefault="00D800F1" w:rsidP="00D800F1">
      <w:pPr>
        <w:rPr>
          <w:rFonts w:cstheme="minorHAnsi"/>
          <w:i/>
          <w:iCs/>
          <w:sz w:val="20"/>
          <w:szCs w:val="20"/>
        </w:rPr>
      </w:pPr>
    </w:p>
    <w:p w14:paraId="2B57D53C" w14:textId="639C2321" w:rsidR="00D800F1" w:rsidRDefault="00D800F1" w:rsidP="00D800F1">
      <w:pPr>
        <w:rPr>
          <w:rFonts w:cstheme="minorHAnsi"/>
          <w:i/>
          <w:iCs/>
          <w:sz w:val="20"/>
          <w:szCs w:val="20"/>
        </w:rPr>
      </w:pPr>
    </w:p>
    <w:p w14:paraId="45A49976" w14:textId="2118845E" w:rsidR="00BF3114" w:rsidRPr="00D800F1" w:rsidRDefault="00C2038E" w:rsidP="00BF3114">
      <w:pPr>
        <w:rPr>
          <w:rFonts w:cstheme="minorHAnsi"/>
          <w:sz w:val="20"/>
          <w:szCs w:val="20"/>
          <w:u w:val="single"/>
        </w:rPr>
      </w:pPr>
      <w:r w:rsidRPr="00D800F1">
        <w:rPr>
          <w:noProof/>
          <w:sz w:val="20"/>
          <w:szCs w:val="20"/>
        </w:rPr>
        <w:lastRenderedPageBreak/>
        <w:drawing>
          <wp:inline distT="0" distB="0" distL="0" distR="0" wp14:anchorId="449AC21F" wp14:editId="13B50F75">
            <wp:extent cx="1618687" cy="699135"/>
            <wp:effectExtent l="57150" t="57150" r="38735" b="43815"/>
            <wp:docPr id="1035" name="Picture 11" descr="CVS Caremark receives 'Best Employers for Healthy Lifestyles' award | Drug  Store News">
              <a:extLst xmlns:a="http://schemas.openxmlformats.org/drawingml/2006/main">
                <a:ext uri="{FF2B5EF4-FFF2-40B4-BE49-F238E27FC236}">
                  <a16:creationId xmlns:a16="http://schemas.microsoft.com/office/drawing/2014/main" id="{1F3E616C-335F-42DD-BCF8-99CDB641293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5" name="Picture 11" descr="CVS Caremark receives 'Best Employers for Healthy Lifestyles' award | Drug  Store News">
                      <a:extLst>
                        <a:ext uri="{FF2B5EF4-FFF2-40B4-BE49-F238E27FC236}">
                          <a16:creationId xmlns:a16="http://schemas.microsoft.com/office/drawing/2014/main" id="{1F3E616C-335F-42DD-BCF8-99CDB641293E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637" t="25690" r="18726" b="22230"/>
                    <a:stretch/>
                  </pic:blipFill>
                  <pic:spPr bwMode="auto">
                    <a:xfrm>
                      <a:off x="0" y="0"/>
                      <a:ext cx="1621267" cy="700249"/>
                    </a:xfrm>
                    <a:prstGeom prst="rect">
                      <a:avLst/>
                    </a:prstGeom>
                    <a:noFill/>
                    <a:scene3d>
                      <a:camera prst="orthographicFront"/>
                      <a:lightRig rig="threePt" dir="t"/>
                    </a:scene3d>
                    <a:sp3d>
                      <a:bevelT w="165100" prst="coolSlant"/>
                    </a:sp3d>
                  </pic:spPr>
                </pic:pic>
              </a:graphicData>
            </a:graphic>
          </wp:inline>
        </w:drawing>
      </w:r>
    </w:p>
    <w:p w14:paraId="0CB5FAC8" w14:textId="1C21362A" w:rsidR="00397D59" w:rsidRPr="00D800F1" w:rsidRDefault="00397D59" w:rsidP="00397D59">
      <w:pPr>
        <w:rPr>
          <w:rFonts w:cstheme="minorHAnsi"/>
          <w:i/>
          <w:iCs/>
          <w:sz w:val="20"/>
          <w:szCs w:val="20"/>
        </w:rPr>
      </w:pPr>
      <w:r w:rsidRPr="00D800F1">
        <w:rPr>
          <w:rFonts w:cstheme="minorHAnsi"/>
          <w:i/>
          <w:iCs/>
          <w:sz w:val="20"/>
          <w:szCs w:val="20"/>
        </w:rPr>
        <w:t>The Employers Health PBM program, delivered through CVS Caremark, covers approximately 1 million lives in all 50 states and is responsible for more than $1.4 billion in prescriptions each year. Advantages include:</w:t>
      </w:r>
    </w:p>
    <w:p w14:paraId="69BC31EE" w14:textId="5D456834" w:rsidR="00AA3350" w:rsidRPr="00D800F1" w:rsidRDefault="00AA3350" w:rsidP="00AA3350">
      <w:pPr>
        <w:pStyle w:val="ListParagraph"/>
        <w:numPr>
          <w:ilvl w:val="0"/>
          <w:numId w:val="2"/>
        </w:numPr>
        <w:rPr>
          <w:rFonts w:cstheme="minorHAnsi"/>
          <w:i/>
          <w:iCs/>
          <w:sz w:val="20"/>
          <w:szCs w:val="20"/>
        </w:rPr>
      </w:pPr>
      <w:r w:rsidRPr="00D800F1">
        <w:rPr>
          <w:rFonts w:cstheme="minorHAnsi"/>
          <w:i/>
          <w:iCs/>
          <w:sz w:val="20"/>
          <w:szCs w:val="20"/>
        </w:rPr>
        <w:t>Highest loyalty / satisfaction scores in coalition book of business</w:t>
      </w:r>
      <w:r w:rsidR="00653BBF" w:rsidRPr="00D800F1">
        <w:rPr>
          <w:rFonts w:cstheme="minorHAnsi"/>
          <w:i/>
          <w:iCs/>
          <w:sz w:val="20"/>
          <w:szCs w:val="20"/>
        </w:rPr>
        <w:t>.</w:t>
      </w:r>
    </w:p>
    <w:p w14:paraId="73D4659A" w14:textId="4ABB6DB4" w:rsidR="00AA3350" w:rsidRPr="00D800F1" w:rsidRDefault="00AA3350" w:rsidP="00AA3350">
      <w:pPr>
        <w:pStyle w:val="ListParagraph"/>
        <w:numPr>
          <w:ilvl w:val="0"/>
          <w:numId w:val="2"/>
        </w:numPr>
        <w:rPr>
          <w:rFonts w:cstheme="minorHAnsi"/>
          <w:i/>
          <w:iCs/>
          <w:sz w:val="20"/>
          <w:szCs w:val="20"/>
        </w:rPr>
      </w:pPr>
      <w:r w:rsidRPr="00D800F1">
        <w:rPr>
          <w:rFonts w:cstheme="minorHAnsi"/>
          <w:i/>
          <w:iCs/>
          <w:sz w:val="20"/>
          <w:szCs w:val="20"/>
        </w:rPr>
        <w:t>Dedicated account team with strategic oversight</w:t>
      </w:r>
      <w:r w:rsidR="00653BBF" w:rsidRPr="00D800F1">
        <w:rPr>
          <w:rFonts w:cstheme="minorHAnsi"/>
          <w:i/>
          <w:iCs/>
          <w:sz w:val="20"/>
          <w:szCs w:val="20"/>
        </w:rPr>
        <w:t>.</w:t>
      </w:r>
    </w:p>
    <w:p w14:paraId="364AC599" w14:textId="136C71ED" w:rsidR="00AA3350" w:rsidRPr="00D800F1" w:rsidRDefault="00AA3350" w:rsidP="00AA3350">
      <w:pPr>
        <w:pStyle w:val="ListParagraph"/>
        <w:numPr>
          <w:ilvl w:val="0"/>
          <w:numId w:val="2"/>
        </w:numPr>
        <w:rPr>
          <w:rFonts w:cstheme="minorHAnsi"/>
          <w:i/>
          <w:iCs/>
          <w:sz w:val="20"/>
          <w:szCs w:val="20"/>
        </w:rPr>
      </w:pPr>
      <w:r w:rsidRPr="00D800F1">
        <w:rPr>
          <w:rFonts w:cstheme="minorHAnsi"/>
          <w:i/>
          <w:iCs/>
          <w:sz w:val="20"/>
          <w:szCs w:val="20"/>
        </w:rPr>
        <w:t>Review of high-cost claims on a weekly basis</w:t>
      </w:r>
      <w:r w:rsidR="00653BBF" w:rsidRPr="00D800F1">
        <w:rPr>
          <w:rFonts w:cstheme="minorHAnsi"/>
          <w:i/>
          <w:iCs/>
          <w:sz w:val="20"/>
          <w:szCs w:val="20"/>
        </w:rPr>
        <w:t>.</w:t>
      </w:r>
    </w:p>
    <w:p w14:paraId="1F54FCF5" w14:textId="77777777" w:rsidR="00AA3350" w:rsidRPr="00D800F1" w:rsidRDefault="00AA3350" w:rsidP="00AA3350">
      <w:pPr>
        <w:pStyle w:val="ListParagraph"/>
        <w:rPr>
          <w:rFonts w:cstheme="minorHAnsi"/>
          <w:i/>
          <w:iCs/>
          <w:sz w:val="20"/>
          <w:szCs w:val="20"/>
        </w:rPr>
      </w:pPr>
    </w:p>
    <w:p w14:paraId="30041354" w14:textId="45AA9E33" w:rsidR="000B0B87" w:rsidRPr="00D800F1" w:rsidRDefault="00397D59" w:rsidP="00363953">
      <w:pPr>
        <w:pStyle w:val="ListParagraph"/>
        <w:numPr>
          <w:ilvl w:val="0"/>
          <w:numId w:val="2"/>
        </w:numPr>
        <w:rPr>
          <w:rFonts w:cstheme="minorHAnsi"/>
          <w:sz w:val="20"/>
          <w:szCs w:val="20"/>
        </w:rPr>
      </w:pPr>
      <w:r w:rsidRPr="00D800F1">
        <w:rPr>
          <w:rFonts w:cstheme="minorHAnsi"/>
          <w:i/>
          <w:iCs/>
          <w:sz w:val="20"/>
          <w:szCs w:val="20"/>
        </w:rPr>
        <w:t>A focus on keeping participants happy, through a host of proactive vendor management initiatives and participant satisfaction surveys.</w:t>
      </w:r>
    </w:p>
    <w:p w14:paraId="6E0704F9" w14:textId="15D18D84" w:rsidR="000B0B87" w:rsidRPr="00D800F1" w:rsidRDefault="004F36BF" w:rsidP="000B0B87">
      <w:pPr>
        <w:rPr>
          <w:rFonts w:cstheme="minorHAnsi"/>
          <w:sz w:val="20"/>
          <w:szCs w:val="20"/>
          <w:u w:val="single"/>
        </w:rPr>
      </w:pPr>
      <w:r w:rsidRPr="00D800F1">
        <w:rPr>
          <w:noProof/>
          <w:sz w:val="20"/>
          <w:szCs w:val="20"/>
        </w:rPr>
        <w:drawing>
          <wp:inline distT="0" distB="0" distL="0" distR="0" wp14:anchorId="232EBE52" wp14:editId="53482090">
            <wp:extent cx="1924050" cy="598862"/>
            <wp:effectExtent l="38100" t="57150" r="38100" b="48895"/>
            <wp:docPr id="1037" name="Picture 13" descr="PCMA Members | PCMA">
              <a:extLst xmlns:a="http://schemas.openxmlformats.org/drawingml/2006/main">
                <a:ext uri="{FF2B5EF4-FFF2-40B4-BE49-F238E27FC236}">
                  <a16:creationId xmlns:a16="http://schemas.microsoft.com/office/drawing/2014/main" id="{3ACA9F1B-37A8-4214-A33D-97C5544270E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7" name="Picture 13" descr="PCMA Members | PCMA">
                      <a:extLst>
                        <a:ext uri="{FF2B5EF4-FFF2-40B4-BE49-F238E27FC236}">
                          <a16:creationId xmlns:a16="http://schemas.microsoft.com/office/drawing/2014/main" id="{3ACA9F1B-37A8-4214-A33D-97C5544270E3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038" b="26057"/>
                    <a:stretch/>
                  </pic:blipFill>
                  <pic:spPr bwMode="auto">
                    <a:xfrm>
                      <a:off x="0" y="0"/>
                      <a:ext cx="1924050" cy="598862"/>
                    </a:xfrm>
                    <a:prstGeom prst="rect">
                      <a:avLst/>
                    </a:prstGeom>
                    <a:noFill/>
                    <a:scene3d>
                      <a:camera prst="orthographicFront"/>
                      <a:lightRig rig="threePt" dir="t"/>
                    </a:scene3d>
                    <a:sp3d>
                      <a:bevelT w="165100" prst="coolSlant"/>
                    </a:sp3d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14:paraId="7F67F762" w14:textId="670B9A3B" w:rsidR="005E2A53" w:rsidRPr="00D800F1" w:rsidRDefault="007F4783" w:rsidP="005E2A53">
      <w:pPr>
        <w:rPr>
          <w:rFonts w:cstheme="minorHAnsi"/>
          <w:i/>
          <w:iCs/>
          <w:sz w:val="20"/>
          <w:szCs w:val="20"/>
        </w:rPr>
      </w:pPr>
      <w:r w:rsidRPr="00D800F1">
        <w:rPr>
          <w:rFonts w:cstheme="minorHAnsi"/>
          <w:i/>
          <w:iCs/>
          <w:sz w:val="20"/>
          <w:szCs w:val="20"/>
        </w:rPr>
        <w:t xml:space="preserve">With the nation’s premier employer coalition with more than two decades of experience in managing group purchasing arrangements paired with the industry’s most flexible pharmacy care services model, you get a simplified experience, healthier </w:t>
      </w:r>
      <w:r w:rsidR="004F36BF" w:rsidRPr="00D800F1">
        <w:rPr>
          <w:rFonts w:cstheme="minorHAnsi"/>
          <w:i/>
          <w:iCs/>
          <w:sz w:val="20"/>
          <w:szCs w:val="20"/>
        </w:rPr>
        <w:t>outcomes,</w:t>
      </w:r>
      <w:r w:rsidRPr="00D800F1">
        <w:rPr>
          <w:rFonts w:cstheme="minorHAnsi"/>
          <w:i/>
          <w:iCs/>
          <w:sz w:val="20"/>
          <w:szCs w:val="20"/>
        </w:rPr>
        <w:t xml:space="preserve"> and smarter pharmacy care. </w:t>
      </w:r>
      <w:r w:rsidR="005E2A53" w:rsidRPr="00D800F1">
        <w:rPr>
          <w:rFonts w:cstheme="minorHAnsi"/>
          <w:i/>
          <w:iCs/>
          <w:sz w:val="20"/>
          <w:szCs w:val="20"/>
        </w:rPr>
        <w:t>Why Employers Health and OptumRx?</w:t>
      </w:r>
    </w:p>
    <w:p w14:paraId="2147A686" w14:textId="15F108D2" w:rsidR="00C45EC0" w:rsidRPr="00D800F1" w:rsidRDefault="00C45EC0" w:rsidP="00C45EC0">
      <w:pPr>
        <w:pStyle w:val="ListParagraph"/>
        <w:numPr>
          <w:ilvl w:val="0"/>
          <w:numId w:val="4"/>
        </w:numPr>
        <w:rPr>
          <w:rFonts w:cstheme="minorHAnsi"/>
          <w:i/>
          <w:iCs/>
          <w:sz w:val="20"/>
          <w:szCs w:val="20"/>
        </w:rPr>
      </w:pPr>
      <w:r w:rsidRPr="00D800F1">
        <w:rPr>
          <w:rFonts w:cstheme="minorHAnsi"/>
          <w:i/>
          <w:iCs/>
          <w:sz w:val="20"/>
          <w:szCs w:val="20"/>
          <w:lang w:val="fr-FR"/>
        </w:rPr>
        <w:t xml:space="preserve">100% client satisfaction for 2018 </w:t>
      </w:r>
      <w:proofErr w:type="spellStart"/>
      <w:r w:rsidRPr="00D800F1">
        <w:rPr>
          <w:rFonts w:cstheme="minorHAnsi"/>
          <w:i/>
          <w:iCs/>
          <w:sz w:val="20"/>
          <w:szCs w:val="20"/>
          <w:lang w:val="fr-FR"/>
        </w:rPr>
        <w:t>implementation</w:t>
      </w:r>
      <w:proofErr w:type="spellEnd"/>
      <w:r w:rsidR="00327BDD" w:rsidRPr="00D800F1">
        <w:rPr>
          <w:rFonts w:cstheme="minorHAnsi"/>
          <w:i/>
          <w:iCs/>
          <w:sz w:val="20"/>
          <w:szCs w:val="20"/>
          <w:lang w:val="fr-FR"/>
        </w:rPr>
        <w:t>.</w:t>
      </w:r>
    </w:p>
    <w:p w14:paraId="31C3F89B" w14:textId="5AEC0EF8" w:rsidR="00C45EC0" w:rsidRPr="00D800F1" w:rsidRDefault="00C45EC0" w:rsidP="00C45EC0">
      <w:pPr>
        <w:pStyle w:val="ListParagraph"/>
        <w:numPr>
          <w:ilvl w:val="0"/>
          <w:numId w:val="4"/>
        </w:numPr>
        <w:rPr>
          <w:rFonts w:cstheme="minorHAnsi"/>
          <w:i/>
          <w:iCs/>
          <w:sz w:val="20"/>
          <w:szCs w:val="20"/>
        </w:rPr>
      </w:pPr>
      <w:r w:rsidRPr="00D800F1">
        <w:rPr>
          <w:rFonts w:cstheme="minorHAnsi"/>
          <w:i/>
          <w:iCs/>
          <w:sz w:val="20"/>
          <w:szCs w:val="20"/>
        </w:rPr>
        <w:t>Real-time alternative medications, authorizations, accurate patient cost by pharmacy and benefit coverage and clinical alerts</w:t>
      </w:r>
      <w:r w:rsidR="00327BDD" w:rsidRPr="00D800F1">
        <w:rPr>
          <w:rFonts w:cstheme="minorHAnsi"/>
          <w:i/>
          <w:iCs/>
          <w:sz w:val="20"/>
          <w:szCs w:val="20"/>
        </w:rPr>
        <w:t>.</w:t>
      </w:r>
    </w:p>
    <w:p w14:paraId="559D724B" w14:textId="380C10D5" w:rsidR="005E2A53" w:rsidRPr="00D800F1" w:rsidRDefault="005E2A53" w:rsidP="00E120BD">
      <w:pPr>
        <w:pStyle w:val="ListParagraph"/>
        <w:numPr>
          <w:ilvl w:val="0"/>
          <w:numId w:val="4"/>
        </w:numPr>
        <w:rPr>
          <w:rFonts w:cstheme="minorHAnsi"/>
          <w:i/>
          <w:iCs/>
          <w:sz w:val="20"/>
          <w:szCs w:val="20"/>
        </w:rPr>
      </w:pPr>
      <w:r w:rsidRPr="00D800F1">
        <w:rPr>
          <w:rFonts w:cstheme="minorHAnsi"/>
          <w:i/>
          <w:iCs/>
          <w:sz w:val="20"/>
          <w:szCs w:val="20"/>
        </w:rPr>
        <w:t xml:space="preserve">Flexible plan options, including various network, </w:t>
      </w:r>
      <w:r w:rsidR="004F36BF" w:rsidRPr="00D800F1">
        <w:rPr>
          <w:rFonts w:cstheme="minorHAnsi"/>
          <w:i/>
          <w:iCs/>
          <w:sz w:val="20"/>
          <w:szCs w:val="20"/>
        </w:rPr>
        <w:t>formulary,</w:t>
      </w:r>
      <w:r w:rsidRPr="00D800F1">
        <w:rPr>
          <w:rFonts w:cstheme="minorHAnsi"/>
          <w:i/>
          <w:iCs/>
          <w:sz w:val="20"/>
          <w:szCs w:val="20"/>
        </w:rPr>
        <w:t xml:space="preserve"> and clinical management opportunities to maintain client autonomy.</w:t>
      </w:r>
    </w:p>
    <w:p w14:paraId="61074A31" w14:textId="36C9C86F" w:rsidR="004F36BF" w:rsidRPr="00D800F1" w:rsidRDefault="005E2A53" w:rsidP="005F79D0">
      <w:pPr>
        <w:pStyle w:val="ListParagraph"/>
        <w:numPr>
          <w:ilvl w:val="0"/>
          <w:numId w:val="4"/>
        </w:numPr>
        <w:rPr>
          <w:rFonts w:cstheme="minorHAnsi"/>
          <w:sz w:val="20"/>
          <w:szCs w:val="20"/>
        </w:rPr>
      </w:pPr>
      <w:r w:rsidRPr="00D800F1">
        <w:rPr>
          <w:rFonts w:cstheme="minorHAnsi"/>
          <w:i/>
          <w:iCs/>
          <w:sz w:val="20"/>
          <w:szCs w:val="20"/>
        </w:rPr>
        <w:t>Implementation support and proactive management among the plan, its consultant, EH, and OptumRx creating a high retention and satisfaction rating.</w:t>
      </w:r>
    </w:p>
    <w:p w14:paraId="39B9AECE" w14:textId="06EE1DDB" w:rsidR="00EA2A00" w:rsidRPr="00D800F1" w:rsidRDefault="004F36BF" w:rsidP="00EA2A00">
      <w:pPr>
        <w:rPr>
          <w:rFonts w:cstheme="minorHAnsi"/>
          <w:sz w:val="20"/>
          <w:szCs w:val="20"/>
          <w:u w:val="single"/>
        </w:rPr>
      </w:pPr>
      <w:r w:rsidRPr="00D800F1">
        <w:rPr>
          <w:noProof/>
          <w:sz w:val="20"/>
          <w:szCs w:val="20"/>
        </w:rPr>
        <w:drawing>
          <wp:inline distT="0" distB="0" distL="0" distR="0" wp14:anchorId="77FC08E6" wp14:editId="515AE4FD">
            <wp:extent cx="1617980" cy="776905"/>
            <wp:effectExtent l="38100" t="57150" r="39370" b="42545"/>
            <wp:docPr id="1039" name="Picture 15" descr="MORE EFFICIENCY, SERVICE AND VALUE ON THE HORIZON AS ENVISIONRXOPTIONS  INTEGRATES ITS FAMILY OF BRANDS AS ELIXIR">
              <a:extLst xmlns:a="http://schemas.openxmlformats.org/drawingml/2006/main">
                <a:ext uri="{FF2B5EF4-FFF2-40B4-BE49-F238E27FC236}">
                  <a16:creationId xmlns:a16="http://schemas.microsoft.com/office/drawing/2014/main" id="{2062FDFC-73E6-427E-9969-51B9C857F0B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9" name="Picture 15" descr="MORE EFFICIENCY, SERVICE AND VALUE ON THE HORIZON AS ENVISIONRXOPTIONS  INTEGRATES ITS FAMILY OF BRANDS AS ELIXIR">
                      <a:extLst>
                        <a:ext uri="{FF2B5EF4-FFF2-40B4-BE49-F238E27FC236}">
                          <a16:creationId xmlns:a16="http://schemas.microsoft.com/office/drawing/2014/main" id="{2062FDFC-73E6-427E-9969-51B9C857F0B9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6226" cy="785666"/>
                    </a:xfrm>
                    <a:prstGeom prst="rect">
                      <a:avLst/>
                    </a:prstGeom>
                    <a:noFill/>
                    <a:scene3d>
                      <a:camera prst="orthographicFront"/>
                      <a:lightRig rig="threePt" dir="t"/>
                    </a:scene3d>
                    <a:sp3d>
                      <a:bevelT w="165100" prst="coolSlant"/>
                    </a:sp3d>
                  </pic:spPr>
                </pic:pic>
              </a:graphicData>
            </a:graphic>
          </wp:inline>
        </w:drawing>
      </w:r>
    </w:p>
    <w:p w14:paraId="2D91D58C" w14:textId="2F08E3C8" w:rsidR="000141FA" w:rsidRPr="00D800F1" w:rsidRDefault="007C6D40" w:rsidP="00EA2A00">
      <w:pPr>
        <w:rPr>
          <w:rFonts w:cstheme="minorHAnsi"/>
          <w:i/>
          <w:iCs/>
          <w:sz w:val="20"/>
          <w:szCs w:val="20"/>
        </w:rPr>
      </w:pPr>
      <w:r w:rsidRPr="00D800F1">
        <w:rPr>
          <w:rFonts w:cstheme="minorHAnsi"/>
          <w:i/>
          <w:iCs/>
          <w:sz w:val="20"/>
          <w:szCs w:val="20"/>
        </w:rPr>
        <w:t>The Employers Health and Elixir relationship provides a visibly different alternative to help you manage rising health care costs. Elixir’s unique pass-through pricing model offers you all negotiated drug discounts and rebates, while benefiting from the added support provided by the Employers Health team.</w:t>
      </w:r>
      <w:r w:rsidR="000141FA" w:rsidRPr="00D800F1">
        <w:rPr>
          <w:rFonts w:cstheme="minorHAnsi"/>
          <w:i/>
          <w:iCs/>
          <w:sz w:val="20"/>
          <w:szCs w:val="20"/>
        </w:rPr>
        <w:t xml:space="preserve"> Value-added benefits</w:t>
      </w:r>
      <w:r w:rsidR="00D46008" w:rsidRPr="00D800F1">
        <w:rPr>
          <w:rFonts w:cstheme="minorHAnsi"/>
          <w:i/>
          <w:iCs/>
          <w:sz w:val="20"/>
          <w:szCs w:val="20"/>
        </w:rPr>
        <w:t xml:space="preserve"> with Employers Health and Elixir</w:t>
      </w:r>
      <w:r w:rsidR="000141FA" w:rsidRPr="00D800F1">
        <w:rPr>
          <w:rFonts w:cstheme="minorHAnsi"/>
          <w:i/>
          <w:iCs/>
          <w:sz w:val="20"/>
          <w:szCs w:val="20"/>
        </w:rPr>
        <w:t xml:space="preserve"> include:</w:t>
      </w:r>
    </w:p>
    <w:p w14:paraId="75FB3593" w14:textId="02157773" w:rsidR="000141FA" w:rsidRPr="00D800F1" w:rsidRDefault="000141FA" w:rsidP="000141FA">
      <w:pPr>
        <w:pStyle w:val="ListParagraph"/>
        <w:numPr>
          <w:ilvl w:val="0"/>
          <w:numId w:val="7"/>
        </w:numPr>
        <w:rPr>
          <w:rFonts w:cstheme="minorHAnsi"/>
          <w:i/>
          <w:iCs/>
          <w:sz w:val="20"/>
          <w:szCs w:val="20"/>
        </w:rPr>
      </w:pPr>
      <w:r w:rsidRPr="00D800F1">
        <w:rPr>
          <w:rFonts w:cstheme="minorHAnsi"/>
          <w:i/>
          <w:iCs/>
          <w:sz w:val="20"/>
          <w:szCs w:val="20"/>
        </w:rPr>
        <w:t>100% pass-through pricing</w:t>
      </w:r>
      <w:r w:rsidR="00B2694D" w:rsidRPr="00D800F1">
        <w:rPr>
          <w:rFonts w:cstheme="minorHAnsi"/>
          <w:i/>
          <w:iCs/>
          <w:sz w:val="20"/>
          <w:szCs w:val="20"/>
        </w:rPr>
        <w:t>.</w:t>
      </w:r>
      <w:r w:rsidRPr="00D800F1">
        <w:rPr>
          <w:rFonts w:cstheme="minorHAnsi"/>
          <w:i/>
          <w:iCs/>
          <w:sz w:val="20"/>
          <w:szCs w:val="20"/>
        </w:rPr>
        <w:t xml:space="preserve"> </w:t>
      </w:r>
    </w:p>
    <w:p w14:paraId="41433D24" w14:textId="0C942C81" w:rsidR="000141FA" w:rsidRPr="00D800F1" w:rsidRDefault="000141FA" w:rsidP="000141FA">
      <w:pPr>
        <w:pStyle w:val="ListParagraph"/>
        <w:numPr>
          <w:ilvl w:val="0"/>
          <w:numId w:val="7"/>
        </w:numPr>
        <w:rPr>
          <w:rFonts w:cstheme="minorHAnsi"/>
          <w:i/>
          <w:iCs/>
          <w:sz w:val="20"/>
          <w:szCs w:val="20"/>
        </w:rPr>
      </w:pPr>
      <w:r w:rsidRPr="00D800F1">
        <w:rPr>
          <w:rFonts w:cstheme="minorHAnsi"/>
          <w:i/>
          <w:iCs/>
          <w:sz w:val="20"/>
          <w:szCs w:val="20"/>
        </w:rPr>
        <w:t>Clear contract definitions with sensible guarantees</w:t>
      </w:r>
      <w:r w:rsidR="00B2694D" w:rsidRPr="00D800F1">
        <w:rPr>
          <w:rFonts w:cstheme="minorHAnsi"/>
          <w:i/>
          <w:iCs/>
          <w:sz w:val="20"/>
          <w:szCs w:val="20"/>
        </w:rPr>
        <w:t>.</w:t>
      </w:r>
    </w:p>
    <w:p w14:paraId="4B8D67EB" w14:textId="7A6CBCF9" w:rsidR="000141FA" w:rsidRPr="00D800F1" w:rsidRDefault="000141FA" w:rsidP="000141FA">
      <w:pPr>
        <w:pStyle w:val="ListParagraph"/>
        <w:numPr>
          <w:ilvl w:val="0"/>
          <w:numId w:val="7"/>
        </w:numPr>
        <w:rPr>
          <w:rFonts w:cstheme="minorHAnsi"/>
          <w:i/>
          <w:iCs/>
          <w:sz w:val="20"/>
          <w:szCs w:val="20"/>
        </w:rPr>
      </w:pPr>
      <w:r w:rsidRPr="00D800F1">
        <w:rPr>
          <w:rFonts w:cstheme="minorHAnsi"/>
          <w:i/>
          <w:iCs/>
          <w:sz w:val="20"/>
          <w:szCs w:val="20"/>
        </w:rPr>
        <w:t>Full to á la carte services</w:t>
      </w:r>
      <w:r w:rsidR="00B2694D" w:rsidRPr="00D800F1">
        <w:rPr>
          <w:rFonts w:cstheme="minorHAnsi"/>
          <w:i/>
          <w:iCs/>
          <w:sz w:val="20"/>
          <w:szCs w:val="20"/>
        </w:rPr>
        <w:t>.</w:t>
      </w:r>
    </w:p>
    <w:p w14:paraId="0AD8740C" w14:textId="389AA7E6" w:rsidR="000141FA" w:rsidRPr="00D800F1" w:rsidRDefault="000141FA" w:rsidP="000141FA">
      <w:pPr>
        <w:pStyle w:val="ListParagraph"/>
        <w:numPr>
          <w:ilvl w:val="0"/>
          <w:numId w:val="7"/>
        </w:numPr>
        <w:rPr>
          <w:rFonts w:cstheme="minorHAnsi"/>
          <w:i/>
          <w:iCs/>
          <w:sz w:val="20"/>
          <w:szCs w:val="20"/>
        </w:rPr>
      </w:pPr>
      <w:r w:rsidRPr="00D800F1">
        <w:rPr>
          <w:rFonts w:cstheme="minorHAnsi"/>
          <w:i/>
          <w:iCs/>
          <w:sz w:val="20"/>
          <w:szCs w:val="20"/>
        </w:rPr>
        <w:t>Individualized care with condition-focused clinical controls</w:t>
      </w:r>
      <w:r w:rsidR="00B2694D" w:rsidRPr="00D800F1">
        <w:rPr>
          <w:rFonts w:cstheme="minorHAnsi"/>
          <w:i/>
          <w:iCs/>
          <w:sz w:val="20"/>
          <w:szCs w:val="20"/>
        </w:rPr>
        <w:t>.</w:t>
      </w:r>
    </w:p>
    <w:p w14:paraId="57E76E7E" w14:textId="2027FDBF" w:rsidR="000141FA" w:rsidRPr="00D800F1" w:rsidRDefault="000141FA" w:rsidP="000141FA">
      <w:pPr>
        <w:pStyle w:val="ListParagraph"/>
        <w:numPr>
          <w:ilvl w:val="0"/>
          <w:numId w:val="7"/>
        </w:numPr>
        <w:rPr>
          <w:rFonts w:cstheme="minorHAnsi"/>
          <w:i/>
          <w:iCs/>
          <w:sz w:val="20"/>
          <w:szCs w:val="20"/>
        </w:rPr>
      </w:pPr>
      <w:r w:rsidRPr="00D800F1">
        <w:rPr>
          <w:rFonts w:cstheme="minorHAnsi"/>
          <w:i/>
          <w:iCs/>
          <w:sz w:val="20"/>
          <w:szCs w:val="20"/>
        </w:rPr>
        <w:t>Value over volume</w:t>
      </w:r>
      <w:r w:rsidR="00B2694D" w:rsidRPr="00D800F1">
        <w:rPr>
          <w:rFonts w:cstheme="minorHAnsi"/>
          <w:i/>
          <w:iCs/>
          <w:sz w:val="20"/>
          <w:szCs w:val="20"/>
        </w:rPr>
        <w:t>.</w:t>
      </w:r>
    </w:p>
    <w:sectPr w:rsidR="000141FA" w:rsidRPr="00D800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AE2599" w14:textId="77777777" w:rsidR="0078667B" w:rsidRDefault="0078667B" w:rsidP="005C4C92">
      <w:pPr>
        <w:spacing w:after="0" w:line="240" w:lineRule="auto"/>
      </w:pPr>
      <w:r>
        <w:separator/>
      </w:r>
    </w:p>
  </w:endnote>
  <w:endnote w:type="continuationSeparator" w:id="0">
    <w:p w14:paraId="3A850904" w14:textId="77777777" w:rsidR="0078667B" w:rsidRDefault="0078667B" w:rsidP="005C4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0431DE" w14:textId="77777777" w:rsidR="0078667B" w:rsidRDefault="0078667B" w:rsidP="005C4C92">
      <w:pPr>
        <w:spacing w:after="0" w:line="240" w:lineRule="auto"/>
      </w:pPr>
      <w:r>
        <w:separator/>
      </w:r>
    </w:p>
  </w:footnote>
  <w:footnote w:type="continuationSeparator" w:id="0">
    <w:p w14:paraId="520AD237" w14:textId="77777777" w:rsidR="0078667B" w:rsidRDefault="0078667B" w:rsidP="005C4C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686341"/>
    <w:multiLevelType w:val="hybridMultilevel"/>
    <w:tmpl w:val="04FA5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1556D7"/>
    <w:multiLevelType w:val="hybridMultilevel"/>
    <w:tmpl w:val="61FA3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BB32C0"/>
    <w:multiLevelType w:val="hybridMultilevel"/>
    <w:tmpl w:val="62FCB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F95998"/>
    <w:multiLevelType w:val="hybridMultilevel"/>
    <w:tmpl w:val="07F49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974BCB"/>
    <w:multiLevelType w:val="hybridMultilevel"/>
    <w:tmpl w:val="D81E8FF2"/>
    <w:lvl w:ilvl="0" w:tplc="A78AC4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F4B7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8ED2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C439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E0FF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6873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FA26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7CB8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CE15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69D71A82"/>
    <w:multiLevelType w:val="hybridMultilevel"/>
    <w:tmpl w:val="38581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D045DA"/>
    <w:multiLevelType w:val="hybridMultilevel"/>
    <w:tmpl w:val="F53EDEC4"/>
    <w:lvl w:ilvl="0" w:tplc="93D4BC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AA08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989A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2E9F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1EE4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4A66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BE1F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7CD4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CA06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F9B"/>
    <w:rsid w:val="000141FA"/>
    <w:rsid w:val="000301AD"/>
    <w:rsid w:val="000B0B87"/>
    <w:rsid w:val="00106E65"/>
    <w:rsid w:val="001A0956"/>
    <w:rsid w:val="001C4232"/>
    <w:rsid w:val="002158FA"/>
    <w:rsid w:val="002352DF"/>
    <w:rsid w:val="00250ABC"/>
    <w:rsid w:val="00254D73"/>
    <w:rsid w:val="00327BDD"/>
    <w:rsid w:val="00370425"/>
    <w:rsid w:val="00397D59"/>
    <w:rsid w:val="003E3829"/>
    <w:rsid w:val="004A7AA6"/>
    <w:rsid w:val="004F36BF"/>
    <w:rsid w:val="005136EC"/>
    <w:rsid w:val="00564CBA"/>
    <w:rsid w:val="005C03F7"/>
    <w:rsid w:val="005C4C92"/>
    <w:rsid w:val="005E2A53"/>
    <w:rsid w:val="005E3061"/>
    <w:rsid w:val="00620586"/>
    <w:rsid w:val="00653BBF"/>
    <w:rsid w:val="00655F61"/>
    <w:rsid w:val="006F25F9"/>
    <w:rsid w:val="006F3A56"/>
    <w:rsid w:val="0078667B"/>
    <w:rsid w:val="007C6D40"/>
    <w:rsid w:val="007D3080"/>
    <w:rsid w:val="007E4102"/>
    <w:rsid w:val="007F4783"/>
    <w:rsid w:val="007F4BD8"/>
    <w:rsid w:val="00820F5B"/>
    <w:rsid w:val="00853814"/>
    <w:rsid w:val="008812D7"/>
    <w:rsid w:val="008D5E35"/>
    <w:rsid w:val="0091459F"/>
    <w:rsid w:val="0092362D"/>
    <w:rsid w:val="00931D61"/>
    <w:rsid w:val="009515CD"/>
    <w:rsid w:val="009901FE"/>
    <w:rsid w:val="009A0F9B"/>
    <w:rsid w:val="00A465F7"/>
    <w:rsid w:val="00A77685"/>
    <w:rsid w:val="00AA3350"/>
    <w:rsid w:val="00AA353C"/>
    <w:rsid w:val="00B1028D"/>
    <w:rsid w:val="00B2694D"/>
    <w:rsid w:val="00B405C9"/>
    <w:rsid w:val="00BF3114"/>
    <w:rsid w:val="00C025F4"/>
    <w:rsid w:val="00C2038E"/>
    <w:rsid w:val="00C45EC0"/>
    <w:rsid w:val="00C65BEA"/>
    <w:rsid w:val="00CA255C"/>
    <w:rsid w:val="00CA4588"/>
    <w:rsid w:val="00D46008"/>
    <w:rsid w:val="00D800F1"/>
    <w:rsid w:val="00D82062"/>
    <w:rsid w:val="00E120BD"/>
    <w:rsid w:val="00E4339E"/>
    <w:rsid w:val="00EA1DF6"/>
    <w:rsid w:val="00EA2A00"/>
    <w:rsid w:val="00ED5C33"/>
    <w:rsid w:val="00F208F3"/>
    <w:rsid w:val="00F216B2"/>
    <w:rsid w:val="00FA1D66"/>
    <w:rsid w:val="00FB30B3"/>
    <w:rsid w:val="00FC1955"/>
    <w:rsid w:val="00FF5079"/>
    <w:rsid w:val="00FF5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B76A2"/>
  <w15:chartTrackingRefBased/>
  <w15:docId w15:val="{984D1B95-DCD7-49BD-A011-AFF389EEB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306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306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405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C4C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4C92"/>
  </w:style>
  <w:style w:type="paragraph" w:styleId="Footer">
    <w:name w:val="footer"/>
    <w:basedOn w:val="Normal"/>
    <w:link w:val="FooterChar"/>
    <w:uiPriority w:val="99"/>
    <w:unhideWhenUsed/>
    <w:rsid w:val="005C4C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C92"/>
  </w:style>
  <w:style w:type="character" w:styleId="FollowedHyperlink">
    <w:name w:val="FollowedHyperlink"/>
    <w:basedOn w:val="DefaultParagraphFont"/>
    <w:uiPriority w:val="99"/>
    <w:semiHidden/>
    <w:unhideWhenUsed/>
    <w:rsid w:val="00E4339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98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37916">
          <w:marLeft w:val="446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65996">
          <w:marLeft w:val="446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5401">
          <w:marLeft w:val="446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7661">
          <w:marLeft w:val="446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18169">
          <w:marLeft w:val="446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867963">
          <w:marLeft w:val="446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4159">
          <w:marLeft w:val="446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7821">
          <w:marLeft w:val="446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5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3960">
          <w:marLeft w:val="446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employershealthco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Clevenger</dc:creator>
  <cp:keywords/>
  <dc:description/>
  <cp:lastModifiedBy>Mike Stewart</cp:lastModifiedBy>
  <cp:revision>13</cp:revision>
  <dcterms:created xsi:type="dcterms:W3CDTF">2020-12-04T18:53:00Z</dcterms:created>
  <dcterms:modified xsi:type="dcterms:W3CDTF">2021-03-17T19:46:00Z</dcterms:modified>
</cp:coreProperties>
</file>